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0673" w:rsidRDefault="003F7F7C" w:rsidP="003F7F7C">
      <w:r w:rsidRPr="003F7F7C">
        <mc:AlternateContent>
          <mc:Choice Requires="wps">
            <w:drawing>
              <wp:anchor distT="0" distB="0" distL="114300" distR="114300" simplePos="0" relativeHeight="251659264" behindDoc="0" locked="0" layoutInCell="1" allowOverlap="1" wp14:anchorId="1128AAB4" wp14:editId="60296666">
                <wp:simplePos x="0" y="0"/>
                <wp:positionH relativeFrom="column">
                  <wp:posOffset>790575</wp:posOffset>
                </wp:positionH>
                <wp:positionV relativeFrom="paragraph">
                  <wp:posOffset>238125</wp:posOffset>
                </wp:positionV>
                <wp:extent cx="6096000" cy="684803"/>
                <wp:effectExtent l="0" t="0" r="0" b="0"/>
                <wp:wrapNone/>
                <wp:docPr id="5" name="Rectangle 4"/>
                <wp:cNvGraphicFramePr/>
                <a:graphic xmlns:a="http://schemas.openxmlformats.org/drawingml/2006/main">
                  <a:graphicData uri="http://schemas.microsoft.com/office/word/2010/wordprocessingShape">
                    <wps:wsp>
                      <wps:cNvSpPr/>
                      <wps:spPr>
                        <a:xfrm>
                          <a:off x="0" y="0"/>
                          <a:ext cx="6096000" cy="684803"/>
                        </a:xfrm>
                        <a:prstGeom prst="rect">
                          <a:avLst/>
                        </a:prstGeom>
                      </wps:spPr>
                      <wps:txbx>
                        <w:txbxContent>
                          <w:p w:rsidR="003F7F7C" w:rsidRPr="003F7F7C" w:rsidRDefault="003F7F7C" w:rsidP="003F7F7C">
                            <w:pPr>
                              <w:pStyle w:val="NormalWeb"/>
                              <w:spacing w:before="0" w:beforeAutospacing="0" w:after="60" w:afterAutospacing="0"/>
                              <w:jc w:val="right"/>
                            </w:pPr>
                            <w:r w:rsidRPr="003F7F7C">
                              <w:rPr>
                                <w:rFonts w:ascii="Arial" w:eastAsia="Calibri" w:hAnsi="Arial"/>
                                <w:b/>
                                <w:bCs/>
                                <w:color w:val="000000" w:themeColor="text1"/>
                                <w:kern w:val="24"/>
                              </w:rPr>
                              <w:t>Direction d’infrastructure</w:t>
                            </w:r>
                          </w:p>
                          <w:p w:rsidR="003F7F7C" w:rsidRPr="003F7F7C" w:rsidRDefault="003F7F7C" w:rsidP="003F7F7C">
                            <w:pPr>
                              <w:pStyle w:val="NormalWeb"/>
                              <w:spacing w:before="0" w:beforeAutospacing="0" w:after="60" w:afterAutospacing="0"/>
                              <w:jc w:val="right"/>
                            </w:pPr>
                            <w:proofErr w:type="gramStart"/>
                            <w:r w:rsidRPr="003F7F7C">
                              <w:rPr>
                                <w:rFonts w:ascii="Arial" w:eastAsia="Calibri" w:hAnsi="Arial"/>
                                <w:b/>
                                <w:bCs/>
                                <w:color w:val="000000" w:themeColor="text1"/>
                                <w:kern w:val="24"/>
                              </w:rPr>
                              <w:t>de</w:t>
                            </w:r>
                            <w:proofErr w:type="gramEnd"/>
                            <w:r w:rsidRPr="003F7F7C">
                              <w:rPr>
                                <w:rFonts w:ascii="Arial" w:eastAsia="Calibri" w:hAnsi="Arial"/>
                                <w:b/>
                                <w:bCs/>
                                <w:color w:val="000000" w:themeColor="text1"/>
                                <w:kern w:val="24"/>
                              </w:rPr>
                              <w:t xml:space="preserve"> la défense de Nouméa</w:t>
                            </w:r>
                          </w:p>
                        </w:txbxContent>
                      </wps:txbx>
                      <wps:bodyPr>
                        <a:spAutoFit/>
                      </wps:bodyPr>
                    </wps:wsp>
                  </a:graphicData>
                </a:graphic>
              </wp:anchor>
            </w:drawing>
          </mc:Choice>
          <mc:Fallback>
            <w:pict>
              <v:rect w14:anchorId="1128AAB4" id="Rectangle 4" o:spid="_x0000_s1026" style="position:absolute;margin-left:62.25pt;margin-top:18.75pt;width:480pt;height:53.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" filled="f" stroked="f">
                <v:textbox style="mso-fit-shape-to-text:t">
                  <w:txbxContent>
                    <w:p w:rsidR="003F7F7C" w:rsidRPr="003F7F7C" w:rsidRDefault="003F7F7C" w:rsidP="003F7F7C">
                      <w:pPr>
                        <w:pStyle w:val="NormalWeb"/>
                        <w:spacing w:before="0" w:beforeAutospacing="0" w:after="60" w:afterAutospacing="0"/>
                        <w:jc w:val="right"/>
                      </w:pPr>
                      <w:r w:rsidRPr="003F7F7C">
                        <w:rPr>
                          <w:rFonts w:ascii="Arial" w:eastAsia="Calibri" w:hAnsi="Arial"/>
                          <w:b/>
                          <w:bCs/>
                          <w:color w:val="000000" w:themeColor="text1"/>
                          <w:kern w:val="24"/>
                        </w:rPr>
                        <w:t>Direction d’infrastructure</w:t>
                      </w:r>
                    </w:p>
                    <w:p w:rsidR="003F7F7C" w:rsidRPr="003F7F7C" w:rsidRDefault="003F7F7C" w:rsidP="003F7F7C">
                      <w:pPr>
                        <w:pStyle w:val="NormalWeb"/>
                        <w:spacing w:before="0" w:beforeAutospacing="0" w:after="60" w:afterAutospacing="0"/>
                        <w:jc w:val="right"/>
                      </w:pPr>
                      <w:proofErr w:type="gramStart"/>
                      <w:r w:rsidRPr="003F7F7C">
                        <w:rPr>
                          <w:rFonts w:ascii="Arial" w:eastAsia="Calibri" w:hAnsi="Arial"/>
                          <w:b/>
                          <w:bCs/>
                          <w:color w:val="000000" w:themeColor="text1"/>
                          <w:kern w:val="24"/>
                        </w:rPr>
                        <w:t>de</w:t>
                      </w:r>
                      <w:proofErr w:type="gramEnd"/>
                      <w:r w:rsidRPr="003F7F7C">
                        <w:rPr>
                          <w:rFonts w:ascii="Arial" w:eastAsia="Calibri" w:hAnsi="Arial"/>
                          <w:b/>
                          <w:bCs/>
                          <w:color w:val="000000" w:themeColor="text1"/>
                          <w:kern w:val="24"/>
                        </w:rPr>
                        <w:t xml:space="preserve"> la défense de Nouméa</w:t>
                      </w:r>
                    </w:p>
                  </w:txbxContent>
                </v:textbox>
              </v:rect>
            </w:pict>
          </mc:Fallback>
        </mc:AlternateContent>
      </w:r>
      <w:r w:rsidRPr="003F7F7C">
        <w:drawing>
          <wp:inline distT="0" distB="0" distL="0" distR="0" wp14:anchorId="5687D397" wp14:editId="61EE202D">
            <wp:extent cx="1284288" cy="1179513"/>
            <wp:effectExtent l="0" t="0" r="0" b="1905"/>
            <wp:docPr id="10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84288" cy="1179513"/>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rsidR="008A5DEE" w:rsidRDefault="008A5DEE" w:rsidP="003F7F7C">
      <w:r w:rsidRPr="003F7F7C">
        <mc:AlternateContent>
          <mc:Choice Requires="wps">
            <w:drawing>
              <wp:anchor distT="0" distB="0" distL="114300" distR="114300" simplePos="0" relativeHeight="251661312" behindDoc="0" locked="0" layoutInCell="1" allowOverlap="1" wp14:anchorId="1E37CF06" wp14:editId="5E0DCF47">
                <wp:simplePos x="0" y="0"/>
                <wp:positionH relativeFrom="column">
                  <wp:posOffset>209550</wp:posOffset>
                </wp:positionH>
                <wp:positionV relativeFrom="paragraph">
                  <wp:posOffset>151765</wp:posOffset>
                </wp:positionV>
                <wp:extent cx="6096000" cy="684803"/>
                <wp:effectExtent l="0" t="0" r="0" b="0"/>
                <wp:wrapNone/>
                <wp:docPr id="1" name="Rectangle 4"/>
                <wp:cNvGraphicFramePr/>
                <a:graphic xmlns:a="http://schemas.openxmlformats.org/drawingml/2006/main">
                  <a:graphicData uri="http://schemas.microsoft.com/office/word/2010/wordprocessingShape">
                    <wps:wsp>
                      <wps:cNvSpPr/>
                      <wps:spPr>
                        <a:xfrm>
                          <a:off x="0" y="0"/>
                          <a:ext cx="6096000" cy="684803"/>
                        </a:xfrm>
                        <a:prstGeom prst="rect">
                          <a:avLst/>
                        </a:prstGeom>
                      </wps:spPr>
                      <wps:txbx>
                        <w:txbxContent>
                          <w:p w:rsidR="008A5DEE" w:rsidRPr="008A5DEE" w:rsidRDefault="008A5DEE" w:rsidP="008A5DEE">
                            <w:pPr>
                              <w:pStyle w:val="NormalWeb"/>
                              <w:spacing w:before="0" w:beforeAutospacing="0" w:after="60" w:afterAutospacing="0"/>
                              <w:jc w:val="center"/>
                              <w:rPr>
                                <w:smallCaps/>
                              </w:rPr>
                            </w:pPr>
                            <w:r w:rsidRPr="008A5DEE">
                              <w:rPr>
                                <w:rFonts w:ascii="Arial" w:eastAsia="Calibri" w:hAnsi="Arial"/>
                                <w:b/>
                                <w:bCs/>
                                <w:smallCaps/>
                                <w:color w:val="000000" w:themeColor="text1"/>
                                <w:kern w:val="24"/>
                              </w:rPr>
                              <w:t>Attestation sur l’honneur</w:t>
                            </w:r>
                          </w:p>
                        </w:txbxContent>
                      </wps:txbx>
                      <wps:bodyPr>
                        <a:spAutoFit/>
                      </wps:bodyPr>
                    </wps:wsp>
                  </a:graphicData>
                </a:graphic>
              </wp:anchor>
            </w:drawing>
          </mc:Choice>
          <mc:Fallback>
            <w:pict>
              <v:rect w14:anchorId="1E37CF06" id="_x0000_s1027" style="position:absolute;margin-left:16.5pt;margin-top:11.95pt;width:480pt;height:53.9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" filled="f" stroked="f">
                <v:textbox style="mso-fit-shape-to-text:t">
                  <w:txbxContent>
                    <w:p w:rsidR="008A5DEE" w:rsidRPr="008A5DEE" w:rsidRDefault="008A5DEE" w:rsidP="008A5DEE">
                      <w:pPr>
                        <w:pStyle w:val="NormalWeb"/>
                        <w:spacing w:before="0" w:beforeAutospacing="0" w:after="60" w:afterAutospacing="0"/>
                        <w:jc w:val="center"/>
                        <w:rPr>
                          <w:smallCaps/>
                        </w:rPr>
                      </w:pPr>
                      <w:r w:rsidRPr="008A5DEE">
                        <w:rPr>
                          <w:rFonts w:ascii="Arial" w:eastAsia="Calibri" w:hAnsi="Arial"/>
                          <w:b/>
                          <w:bCs/>
                          <w:smallCaps/>
                          <w:color w:val="000000" w:themeColor="text1"/>
                          <w:kern w:val="24"/>
                        </w:rPr>
                        <w:t>Attestation sur l’honneur</w:t>
                      </w:r>
                    </w:p>
                  </w:txbxContent>
                </v:textbox>
              </v:rect>
            </w:pict>
          </mc:Fallback>
        </mc:AlternateContent>
      </w:r>
    </w:p>
    <w:p w:rsidR="008A5DEE" w:rsidRDefault="008A5DEE" w:rsidP="003F7F7C"/>
    <w:p w:rsidR="008108BE" w:rsidRDefault="008108BE" w:rsidP="008A5DEE">
      <w:pPr>
        <w:jc w:val="both"/>
        <w:rPr>
          <w:b/>
        </w:rPr>
      </w:pPr>
    </w:p>
    <w:p w:rsidR="008A5DEE" w:rsidRDefault="008A5DEE" w:rsidP="008A5DEE">
      <w:pPr>
        <w:jc w:val="both"/>
        <w:rPr>
          <w:b/>
        </w:rPr>
      </w:pPr>
      <w:r w:rsidRPr="00D63D2C">
        <w:rPr>
          <w:b/>
        </w:rPr>
        <w:t>J’atteste sur l’honneur, sous peine de résiliation de plein droit du marché pour lequel je soumissionne, ne pas tomber sous le coup des cas d’interdiction de soumissionner visés à l’article L. 2141-</w:t>
      </w:r>
      <w:r w:rsidR="00D63D2C">
        <w:rPr>
          <w:b/>
        </w:rPr>
        <w:t>1 à L. 2141-5</w:t>
      </w:r>
      <w:r w:rsidRPr="00D63D2C">
        <w:rPr>
          <w:b/>
        </w:rPr>
        <w:t xml:space="preserve"> </w:t>
      </w:r>
      <w:r w:rsidR="00D63D2C">
        <w:rPr>
          <w:b/>
        </w:rPr>
        <w:t xml:space="preserve">ou </w:t>
      </w:r>
      <w:r w:rsidR="00D63D2C">
        <w:rPr>
          <w:b/>
        </w:rPr>
        <w:tab/>
        <w:t xml:space="preserve">aux articles L 2141-7 à L. 2141-10 </w:t>
      </w:r>
      <w:r w:rsidRPr="00D63D2C">
        <w:rPr>
          <w:b/>
        </w:rPr>
        <w:t>du Code de la Commande Publique</w:t>
      </w:r>
      <w:r w:rsidR="00D63D2C">
        <w:rPr>
          <w:b/>
        </w:rPr>
        <w:t xml:space="preserve"> (*)</w:t>
      </w:r>
      <w:r w:rsidRPr="00D63D2C">
        <w:rPr>
          <w:b/>
        </w:rPr>
        <w:t>.</w:t>
      </w:r>
    </w:p>
    <w:p w:rsidR="00D63D2C" w:rsidRDefault="00D63D2C" w:rsidP="008A5DEE">
      <w:pPr>
        <w:jc w:val="both"/>
        <w:rPr>
          <w:b/>
          <w:i/>
        </w:rPr>
      </w:pPr>
      <w:r w:rsidRPr="00D63D2C">
        <w:rPr>
          <w:b/>
        </w:rPr>
        <w:t xml:space="preserve">(*) </w:t>
      </w:r>
      <w:r w:rsidRPr="00D63D2C">
        <w:rPr>
          <w:b/>
          <w:i/>
        </w:rPr>
        <w:t>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rsidR="00D63D2C" w:rsidRPr="00D63D2C" w:rsidRDefault="00D63D2C" w:rsidP="008A5DEE">
      <w:pPr>
        <w:jc w:val="both"/>
        <w:rPr>
          <w:b/>
          <w:i/>
        </w:rPr>
      </w:pPr>
    </w:p>
    <w:p w:rsidR="008A5DEE" w:rsidRDefault="00D63D2C" w:rsidP="008A5DEE">
      <w:pPr>
        <w:tabs>
          <w:tab w:val="left" w:pos="576"/>
        </w:tabs>
        <w:jc w:val="both"/>
        <w:rPr>
          <w:rFonts w:asciiTheme="majorHAnsi" w:hAnsiTheme="majorHAnsi" w:cstheme="majorHAnsi"/>
          <w:b/>
        </w:rPr>
      </w:pPr>
      <w:r w:rsidRPr="00D63D2C">
        <w:rPr>
          <w:rFonts w:asciiTheme="majorHAnsi" w:hAnsiTheme="majorHAnsi" w:cstheme="majorHAnsi"/>
          <w:b/>
        </w:rPr>
        <w:t xml:space="preserve">De surcroit, </w:t>
      </w:r>
      <w:r>
        <w:rPr>
          <w:rFonts w:asciiTheme="majorHAnsi" w:hAnsiTheme="majorHAnsi" w:cstheme="majorHAnsi"/>
          <w:b/>
        </w:rPr>
        <w:t xml:space="preserve">je </w:t>
      </w:r>
      <w:r w:rsidR="008A5DEE" w:rsidRPr="00D63D2C">
        <w:rPr>
          <w:rFonts w:asciiTheme="majorHAnsi" w:hAnsiTheme="majorHAnsi" w:cstheme="majorHAnsi"/>
          <w:b/>
        </w:rPr>
        <w:t>déclare sur l’honneur</w:t>
      </w:r>
      <w:r>
        <w:rPr>
          <w:rFonts w:asciiTheme="majorHAnsi" w:hAnsiTheme="majorHAnsi" w:cstheme="majorHAnsi"/>
          <w:b/>
        </w:rPr>
        <w:t xml:space="preserve"> </w:t>
      </w:r>
      <w:r w:rsidR="008A5DEE" w:rsidRPr="00D63D2C">
        <w:rPr>
          <w:rFonts w:asciiTheme="majorHAnsi" w:hAnsiTheme="majorHAnsi" w:cstheme="majorHAnsi"/>
          <w:b/>
        </w:rPr>
        <w:t>:</w:t>
      </w:r>
    </w:p>
    <w:p w:rsidR="008A5DEE" w:rsidRPr="008A5DEE" w:rsidRDefault="008A5DEE" w:rsidP="008A5DEE">
      <w:pPr>
        <w:pStyle w:val="NormalWeb"/>
        <w:numPr>
          <w:ilvl w:val="0"/>
          <w:numId w:val="1"/>
        </w:numPr>
        <w:tabs>
          <w:tab w:val="clear" w:pos="786"/>
          <w:tab w:val="num" w:pos="360"/>
        </w:tabs>
        <w:suppressAutoHyphens/>
        <w:spacing w:before="120" w:beforeAutospacing="0" w:after="0" w:afterAutospacing="0"/>
        <w:ind w:left="357" w:hanging="357"/>
        <w:jc w:val="both"/>
        <w:rPr>
          <w:rFonts w:asciiTheme="majorHAnsi" w:hAnsiTheme="majorHAnsi" w:cstheme="majorHAnsi"/>
          <w:sz w:val="22"/>
          <w:szCs w:val="22"/>
        </w:rPr>
      </w:pPr>
      <w:r w:rsidRPr="008A5DEE">
        <w:rPr>
          <w:rFonts w:asciiTheme="majorHAnsi" w:hAnsiTheme="majorHAnsi" w:cstheme="majorHAnsi"/>
          <w:b/>
          <w:i/>
          <w:sz w:val="22"/>
          <w:szCs w:val="22"/>
        </w:rPr>
        <w:t>Condamnation définitive :</w:t>
      </w:r>
    </w:p>
    <w:p w:rsidR="008A5DEE" w:rsidRPr="008A5DEE" w:rsidRDefault="008A5DEE" w:rsidP="00D63D2C">
      <w:pPr>
        <w:pStyle w:val="NormalWeb"/>
        <w:spacing w:after="120" w:afterAutospacing="0"/>
        <w:jc w:val="both"/>
        <w:rPr>
          <w:rFonts w:asciiTheme="majorHAnsi" w:hAnsiTheme="majorHAnsi" w:cstheme="majorHAnsi"/>
          <w:sz w:val="22"/>
          <w:szCs w:val="22"/>
        </w:rPr>
      </w:pPr>
      <w:r w:rsidRPr="008A5DEE">
        <w:rPr>
          <w:rFonts w:asciiTheme="majorHAnsi" w:hAnsiTheme="majorHAnsi" w:cstheme="majorHAnsi"/>
          <w:sz w:val="22"/>
          <w:szCs w:val="22"/>
        </w:rPr>
        <w:t>- 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Etat de l’Union européenne ;</w:t>
      </w:r>
    </w:p>
    <w:p w:rsidR="008A5DEE" w:rsidRPr="008A5DEE" w:rsidRDefault="008A5DEE" w:rsidP="00D63D2C">
      <w:pPr>
        <w:pStyle w:val="NormalWeb"/>
        <w:spacing w:before="120" w:beforeAutospacing="0"/>
        <w:jc w:val="both"/>
        <w:rPr>
          <w:rFonts w:asciiTheme="majorHAnsi" w:hAnsiTheme="majorHAnsi" w:cstheme="majorHAnsi"/>
          <w:b/>
          <w:i/>
          <w:sz w:val="22"/>
          <w:szCs w:val="22"/>
        </w:rPr>
      </w:pPr>
      <w:r w:rsidRPr="008A5DEE">
        <w:rPr>
          <w:rFonts w:asciiTheme="majorHAnsi" w:hAnsiTheme="majorHAnsi" w:cstheme="majorHAnsi"/>
          <w:sz w:val="22"/>
          <w:szCs w:val="22"/>
        </w:rPr>
        <w:t>- ne pas être exclu des marchés publics, à titre de peine principale ou complémentaire prononcée par le juge pénal, sur le fondement des articles 131-10 ou 131-39 du code pénal ;</w:t>
      </w:r>
    </w:p>
    <w:p w:rsidR="008A5DEE" w:rsidRPr="008A5DEE" w:rsidRDefault="008A5DEE" w:rsidP="00982C77">
      <w:pPr>
        <w:pStyle w:val="NormalWeb"/>
        <w:numPr>
          <w:ilvl w:val="0"/>
          <w:numId w:val="1"/>
        </w:numPr>
        <w:tabs>
          <w:tab w:val="clear" w:pos="786"/>
          <w:tab w:val="num" w:pos="360"/>
        </w:tabs>
        <w:suppressAutoHyphens/>
        <w:spacing w:before="120" w:beforeAutospacing="0" w:after="120" w:afterAutospacing="0"/>
        <w:ind w:left="357" w:hanging="357"/>
        <w:jc w:val="both"/>
        <w:rPr>
          <w:rFonts w:asciiTheme="majorHAnsi" w:hAnsiTheme="majorHAnsi" w:cstheme="majorHAnsi"/>
          <w:i/>
          <w:sz w:val="22"/>
          <w:szCs w:val="22"/>
        </w:rPr>
      </w:pPr>
      <w:r w:rsidRPr="008A5DEE">
        <w:rPr>
          <w:rFonts w:asciiTheme="majorHAnsi" w:hAnsiTheme="majorHAnsi" w:cstheme="majorHAnsi"/>
          <w:b/>
          <w:i/>
          <w:sz w:val="22"/>
          <w:szCs w:val="22"/>
        </w:rPr>
        <w:t>Lutte contre le travail illégal :</w:t>
      </w:r>
    </w:p>
    <w:p w:rsidR="008A5DEE" w:rsidRPr="008A5DEE" w:rsidRDefault="008A5DEE" w:rsidP="00D63D2C">
      <w:pPr>
        <w:pStyle w:val="NormalWeb"/>
        <w:spacing w:before="0" w:beforeAutospacing="0" w:after="120" w:afterAutospacing="0"/>
        <w:jc w:val="both"/>
        <w:rPr>
          <w:rFonts w:asciiTheme="majorHAnsi" w:hAnsiTheme="majorHAnsi" w:cstheme="majorHAnsi"/>
          <w:sz w:val="22"/>
          <w:szCs w:val="22"/>
        </w:rPr>
      </w:pPr>
      <w:r w:rsidRPr="008A5DEE">
        <w:rPr>
          <w:rFonts w:asciiTheme="majorHAnsi" w:hAnsiTheme="majorHAnsi" w:cstheme="majorHAnsi"/>
          <w:i/>
          <w:sz w:val="22"/>
          <w:szCs w:val="22"/>
        </w:rPr>
        <w:t xml:space="preserve">- </w:t>
      </w:r>
      <w:r w:rsidRPr="008A5DEE">
        <w:rPr>
          <w:rFonts w:asciiTheme="majorHAnsi" w:hAnsiTheme="majorHAnsi" w:cstheme="majorHAnsi"/>
          <w:sz w:val="22"/>
          <w:szCs w:val="22"/>
        </w:rPr>
        <w:t>ne pas avoir fait l'objet, depuis moins de cinq ans, d'une condamnation inscrite au bulletin n° 2 du casier judiciaire pour les infractions mentionnées aux articles L. 8221-1, L. 8221-3, L. 8221-5, L. 8231-1, L. 8241-</w:t>
      </w:r>
      <w:proofErr w:type="gramStart"/>
      <w:r w:rsidRPr="008A5DEE">
        <w:rPr>
          <w:rFonts w:asciiTheme="majorHAnsi" w:hAnsiTheme="majorHAnsi" w:cstheme="majorHAnsi"/>
          <w:sz w:val="22"/>
          <w:szCs w:val="22"/>
        </w:rPr>
        <w:t>1 ,</w:t>
      </w:r>
      <w:proofErr w:type="gramEnd"/>
      <w:r w:rsidRPr="008A5DEE">
        <w:rPr>
          <w:rFonts w:asciiTheme="majorHAnsi" w:hAnsiTheme="majorHAnsi" w:cstheme="majorHAnsi"/>
          <w:sz w:val="22"/>
          <w:szCs w:val="22"/>
        </w:rPr>
        <w:t xml:space="preserve"> L. 8251-1 et L. 8251-2 du code du travail, ou pour des infractions de même nature dans un autre Etat de l’Union européenne ;</w:t>
      </w:r>
    </w:p>
    <w:p w:rsidR="008A5DEE" w:rsidRPr="008A5DEE" w:rsidRDefault="008A5DEE" w:rsidP="00D63D2C">
      <w:pPr>
        <w:tabs>
          <w:tab w:val="left" w:pos="576"/>
        </w:tabs>
        <w:spacing w:before="120" w:after="100" w:afterAutospacing="1" w:line="240" w:lineRule="auto"/>
        <w:jc w:val="both"/>
        <w:rPr>
          <w:rFonts w:asciiTheme="majorHAnsi" w:hAnsiTheme="majorHAnsi" w:cstheme="majorHAnsi"/>
          <w:b/>
          <w:i/>
        </w:rPr>
      </w:pPr>
      <w:r w:rsidRPr="008A5DEE">
        <w:rPr>
          <w:rFonts w:asciiTheme="majorHAnsi" w:hAnsiTheme="majorHAnsi" w:cstheme="majorHAnsi"/>
        </w:rPr>
        <w:t>- pour les contrats administratifs, ne pas faire l’objet d’une mesure d’exclusion ordonnée par le préfet, en application des articles L. 8272-4, R. 8272-10 et</w:t>
      </w:r>
      <w:r w:rsidR="00D63D2C">
        <w:rPr>
          <w:rFonts w:asciiTheme="majorHAnsi" w:hAnsiTheme="majorHAnsi" w:cstheme="majorHAnsi"/>
        </w:rPr>
        <w:t xml:space="preserve"> R. 8272-11 du code du travail.</w:t>
      </w:r>
    </w:p>
    <w:p w:rsidR="00D63D2C" w:rsidRPr="00D63D2C" w:rsidRDefault="008A5DEE" w:rsidP="00D63D2C">
      <w:pPr>
        <w:numPr>
          <w:ilvl w:val="0"/>
          <w:numId w:val="1"/>
        </w:numPr>
        <w:tabs>
          <w:tab w:val="clear" w:pos="786"/>
          <w:tab w:val="left" w:pos="0"/>
          <w:tab w:val="num" w:pos="360"/>
          <w:tab w:val="left" w:pos="576"/>
        </w:tabs>
        <w:suppressAutoHyphens/>
        <w:spacing w:before="120" w:after="0" w:line="240" w:lineRule="auto"/>
        <w:ind w:left="0" w:firstLine="0"/>
        <w:jc w:val="both"/>
        <w:rPr>
          <w:rFonts w:asciiTheme="majorHAnsi" w:hAnsiTheme="majorHAnsi" w:cstheme="majorHAnsi"/>
          <w:b/>
          <w:i/>
        </w:rPr>
      </w:pPr>
      <w:r w:rsidRPr="008A5DEE">
        <w:rPr>
          <w:rFonts w:asciiTheme="majorHAnsi" w:hAnsiTheme="majorHAnsi" w:cstheme="majorHAnsi"/>
          <w:b/>
          <w:i/>
        </w:rPr>
        <w:t>Obligation d’emploi de</w:t>
      </w:r>
      <w:bookmarkStart w:id="0" w:name="_GoBack"/>
      <w:bookmarkEnd w:id="0"/>
      <w:r w:rsidRPr="008A5DEE">
        <w:rPr>
          <w:rFonts w:asciiTheme="majorHAnsi" w:hAnsiTheme="majorHAnsi" w:cstheme="majorHAnsi"/>
          <w:b/>
          <w:i/>
        </w:rPr>
        <w:t>s travailleurs handicapés ou assimilés :</w:t>
      </w:r>
      <w:r w:rsidRPr="008A5DEE">
        <w:rPr>
          <w:rFonts w:asciiTheme="majorHAnsi" w:hAnsiTheme="majorHAnsi" w:cstheme="majorHAnsi"/>
        </w:rPr>
        <w:t xml:space="preserve"> pour les marchés publics et accords-cadres soumis au code des marchés publics, être en règle, au cours de l'année précédant celle au cours de laquelle a lieu le lancement de la consultation, au regard des articles L. 5212-1 à L. 5212-11 du </w:t>
      </w:r>
      <w:r w:rsidRPr="008A5DEE">
        <w:rPr>
          <w:rFonts w:asciiTheme="majorHAnsi" w:hAnsiTheme="majorHAnsi" w:cstheme="majorHAnsi"/>
          <w:bCs/>
        </w:rPr>
        <w:t>code du travail</w:t>
      </w:r>
      <w:r w:rsidRPr="008A5DEE">
        <w:rPr>
          <w:rFonts w:asciiTheme="majorHAnsi" w:hAnsiTheme="majorHAnsi" w:cstheme="majorHAnsi"/>
        </w:rPr>
        <w:t xml:space="preserve"> concernant l’empl</w:t>
      </w:r>
      <w:r w:rsidR="00D63D2C">
        <w:rPr>
          <w:rFonts w:asciiTheme="majorHAnsi" w:hAnsiTheme="majorHAnsi" w:cstheme="majorHAnsi"/>
        </w:rPr>
        <w:t>oi des travailleurs handicapés.</w:t>
      </w:r>
    </w:p>
    <w:p w:rsidR="008A5DEE" w:rsidRPr="008A5DEE" w:rsidRDefault="008A5DEE" w:rsidP="008A5DEE">
      <w:pPr>
        <w:pStyle w:val="NormalWeb"/>
        <w:numPr>
          <w:ilvl w:val="0"/>
          <w:numId w:val="1"/>
        </w:numPr>
        <w:tabs>
          <w:tab w:val="clear" w:pos="786"/>
          <w:tab w:val="left" w:pos="0"/>
          <w:tab w:val="num" w:pos="360"/>
        </w:tabs>
        <w:suppressAutoHyphens/>
        <w:spacing w:before="120" w:beforeAutospacing="0" w:after="0" w:afterAutospacing="0"/>
        <w:ind w:left="0" w:firstLine="0"/>
        <w:jc w:val="both"/>
        <w:rPr>
          <w:rFonts w:asciiTheme="majorHAnsi" w:hAnsiTheme="majorHAnsi" w:cstheme="majorHAnsi"/>
          <w:b/>
          <w:i/>
          <w:sz w:val="22"/>
          <w:szCs w:val="22"/>
        </w:rPr>
      </w:pPr>
      <w:r w:rsidRPr="008A5DEE">
        <w:rPr>
          <w:rFonts w:asciiTheme="majorHAnsi" w:hAnsiTheme="majorHAnsi" w:cstheme="majorHAnsi"/>
          <w:b/>
          <w:i/>
          <w:sz w:val="22"/>
          <w:szCs w:val="22"/>
        </w:rPr>
        <w:t>Liquidation judiciaire :</w:t>
      </w:r>
      <w:r w:rsidRPr="008A5DEE">
        <w:rPr>
          <w:rFonts w:asciiTheme="majorHAnsi" w:hAnsiTheme="majorHAnsi" w:cstheme="majorHAnsi"/>
          <w:sz w:val="22"/>
          <w:szCs w:val="22"/>
        </w:rPr>
        <w:t xml:space="preserve"> ne pas être soumis à la procédure de liquidation judiciaire prévue à l’article L. 640-1 du code de commerce, ne pas être en état de faillite personnelle en application des articles L. 653-1 à L. 653-8 du même code, et ne pas faire l’objet d’une procédure équivalen</w:t>
      </w:r>
      <w:r w:rsidR="00D63D2C">
        <w:rPr>
          <w:rFonts w:asciiTheme="majorHAnsi" w:hAnsiTheme="majorHAnsi" w:cstheme="majorHAnsi"/>
          <w:sz w:val="22"/>
          <w:szCs w:val="22"/>
        </w:rPr>
        <w:t>te régie par un droit étranger.</w:t>
      </w:r>
    </w:p>
    <w:p w:rsidR="008A5DEE" w:rsidRPr="008A5DEE" w:rsidRDefault="008A5DEE" w:rsidP="008A5DEE">
      <w:pPr>
        <w:pStyle w:val="NormalWeb"/>
        <w:numPr>
          <w:ilvl w:val="0"/>
          <w:numId w:val="1"/>
        </w:numPr>
        <w:tabs>
          <w:tab w:val="clear" w:pos="786"/>
          <w:tab w:val="left" w:pos="0"/>
          <w:tab w:val="num" w:pos="360"/>
        </w:tabs>
        <w:suppressAutoHyphens/>
        <w:spacing w:before="120" w:beforeAutospacing="0" w:after="0" w:afterAutospacing="0"/>
        <w:ind w:left="0" w:firstLine="0"/>
        <w:jc w:val="both"/>
        <w:rPr>
          <w:rFonts w:asciiTheme="majorHAnsi" w:hAnsiTheme="majorHAnsi" w:cstheme="majorHAnsi"/>
          <w:b/>
          <w:i/>
          <w:sz w:val="22"/>
          <w:szCs w:val="22"/>
        </w:rPr>
      </w:pPr>
      <w:r w:rsidRPr="008A5DEE">
        <w:rPr>
          <w:rFonts w:asciiTheme="majorHAnsi" w:hAnsiTheme="majorHAnsi" w:cstheme="majorHAnsi"/>
          <w:b/>
          <w:i/>
          <w:sz w:val="22"/>
          <w:szCs w:val="22"/>
        </w:rPr>
        <w:t>Redressement judiciaire :</w:t>
      </w:r>
      <w:r w:rsidRPr="008A5DEE">
        <w:rPr>
          <w:rFonts w:asciiTheme="majorHAnsi" w:hAnsiTheme="majorHAnsi" w:cstheme="majorHAnsi"/>
          <w:i/>
          <w:sz w:val="22"/>
          <w:szCs w:val="22"/>
        </w:rPr>
        <w:t xml:space="preserve"> </w:t>
      </w:r>
      <w:r w:rsidRPr="008A5DEE">
        <w:rPr>
          <w:rFonts w:asciiTheme="majorHAnsi" w:hAnsiTheme="majorHAnsi" w:cstheme="majorHAnsi"/>
          <w:sz w:val="22"/>
          <w:szCs w:val="22"/>
        </w:rPr>
        <w:t>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du marc</w:t>
      </w:r>
      <w:r w:rsidR="00D63D2C">
        <w:rPr>
          <w:rFonts w:asciiTheme="majorHAnsi" w:hAnsiTheme="majorHAnsi" w:cstheme="majorHAnsi"/>
          <w:sz w:val="22"/>
          <w:szCs w:val="22"/>
        </w:rPr>
        <w:t>hé public ou de l’accord</w:t>
      </w:r>
      <w:r w:rsidR="00D63D2C">
        <w:rPr>
          <w:rFonts w:asciiTheme="majorHAnsi" w:hAnsiTheme="majorHAnsi" w:cstheme="majorHAnsi"/>
          <w:sz w:val="22"/>
          <w:szCs w:val="22"/>
        </w:rPr>
        <w:noBreakHyphen/>
        <w:t>cadre.</w:t>
      </w:r>
    </w:p>
    <w:p w:rsidR="008A5DEE" w:rsidRPr="008A5DEE" w:rsidRDefault="008A5DEE" w:rsidP="008A5DEE">
      <w:pPr>
        <w:numPr>
          <w:ilvl w:val="0"/>
          <w:numId w:val="1"/>
        </w:numPr>
        <w:tabs>
          <w:tab w:val="clear" w:pos="786"/>
          <w:tab w:val="left" w:pos="0"/>
          <w:tab w:val="num" w:pos="360"/>
          <w:tab w:val="left" w:pos="576"/>
        </w:tabs>
        <w:suppressAutoHyphens/>
        <w:spacing w:before="120" w:after="0" w:line="240" w:lineRule="auto"/>
        <w:ind w:left="0" w:firstLine="0"/>
        <w:jc w:val="both"/>
        <w:rPr>
          <w:rFonts w:asciiTheme="majorHAnsi" w:hAnsiTheme="majorHAnsi" w:cstheme="majorHAnsi"/>
          <w:b/>
          <w:i/>
        </w:rPr>
      </w:pPr>
      <w:r w:rsidRPr="008A5DEE">
        <w:rPr>
          <w:rFonts w:asciiTheme="majorHAnsi" w:hAnsiTheme="majorHAnsi" w:cstheme="majorHAnsi"/>
          <w:b/>
          <w:i/>
        </w:rPr>
        <w:t>Situation fiscale et sociale :</w:t>
      </w:r>
      <w:r w:rsidRPr="008A5DEE">
        <w:rPr>
          <w:rFonts w:asciiTheme="majorHAnsi" w:hAnsiTheme="majorHAnsi" w:cstheme="majorHAnsi"/>
        </w:rPr>
        <w:t xml:space="preserve">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w:t>
      </w:r>
      <w:r w:rsidR="008108BE">
        <w:rPr>
          <w:rFonts w:asciiTheme="majorHAnsi" w:hAnsiTheme="majorHAnsi" w:cstheme="majorHAnsi"/>
        </w:rPr>
        <w:t>,</w:t>
      </w:r>
      <w:r w:rsidRPr="008A5DEE">
        <w:rPr>
          <w:rFonts w:asciiTheme="majorHAnsi" w:hAnsiTheme="majorHAnsi" w:cstheme="majorHAnsi"/>
        </w:rPr>
        <w:t xml:space="preserve"> des garanties jugées suffisantes par le comptable ou l’or</w:t>
      </w:r>
      <w:r w:rsidR="00D63D2C">
        <w:rPr>
          <w:rFonts w:asciiTheme="majorHAnsi" w:hAnsiTheme="majorHAnsi" w:cstheme="majorHAnsi"/>
        </w:rPr>
        <w:t>ganisme chargé du recouvrement.</w:t>
      </w:r>
    </w:p>
    <w:p w:rsidR="008A5DEE" w:rsidRPr="008A5DEE" w:rsidRDefault="008A5DEE" w:rsidP="00982C77">
      <w:pPr>
        <w:pStyle w:val="NormalWeb"/>
        <w:numPr>
          <w:ilvl w:val="0"/>
          <w:numId w:val="1"/>
        </w:numPr>
        <w:tabs>
          <w:tab w:val="clear" w:pos="786"/>
          <w:tab w:val="num" w:pos="360"/>
        </w:tabs>
        <w:suppressAutoHyphens/>
        <w:spacing w:before="120" w:beforeAutospacing="0" w:after="120" w:afterAutospacing="0"/>
        <w:ind w:left="357" w:hanging="357"/>
        <w:jc w:val="both"/>
        <w:rPr>
          <w:rFonts w:asciiTheme="majorHAnsi" w:hAnsiTheme="majorHAnsi" w:cstheme="majorHAnsi"/>
          <w:sz w:val="22"/>
          <w:szCs w:val="22"/>
        </w:rPr>
      </w:pPr>
      <w:r w:rsidRPr="008A5DEE">
        <w:rPr>
          <w:rFonts w:asciiTheme="majorHAnsi" w:hAnsiTheme="majorHAnsi" w:cstheme="majorHAnsi"/>
          <w:b/>
          <w:i/>
          <w:sz w:val="22"/>
          <w:szCs w:val="22"/>
        </w:rPr>
        <w:t>Marchés de défense et de sécurité :</w:t>
      </w:r>
    </w:p>
    <w:p w:rsidR="008A5DEE" w:rsidRPr="008A5DEE" w:rsidRDefault="008A5DEE" w:rsidP="00D63D2C">
      <w:pPr>
        <w:pStyle w:val="NormalWeb"/>
        <w:spacing w:before="0" w:beforeAutospacing="0" w:after="120" w:afterAutospacing="0"/>
        <w:jc w:val="both"/>
        <w:rPr>
          <w:rFonts w:asciiTheme="majorHAnsi" w:hAnsiTheme="majorHAnsi" w:cstheme="majorHAnsi"/>
          <w:sz w:val="22"/>
          <w:szCs w:val="22"/>
        </w:rPr>
      </w:pPr>
      <w:r w:rsidRPr="008A5DEE">
        <w:rPr>
          <w:rFonts w:asciiTheme="majorHAnsi" w:hAnsiTheme="majorHAnsi" w:cstheme="majorHAnsi"/>
          <w:sz w:val="22"/>
          <w:szCs w:val="22"/>
        </w:rPr>
        <w:t>- ne pas avoir été sanctionné par la résiliation de son marché et ne pas avoir vu sa responsabilité civile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rsidR="008A5DEE" w:rsidRPr="008A5DEE" w:rsidRDefault="008A5DEE" w:rsidP="00D63D2C">
      <w:pPr>
        <w:pStyle w:val="NormalWeb"/>
        <w:spacing w:before="120" w:beforeAutospacing="0"/>
        <w:jc w:val="both"/>
        <w:rPr>
          <w:rFonts w:asciiTheme="majorHAnsi" w:hAnsiTheme="majorHAnsi" w:cstheme="majorHAnsi"/>
          <w:sz w:val="22"/>
          <w:szCs w:val="22"/>
        </w:rPr>
      </w:pPr>
      <w:r w:rsidRPr="008A5DEE">
        <w:rPr>
          <w:rFonts w:asciiTheme="majorHAnsi" w:hAnsiTheme="majorHAnsi" w:cstheme="majorHAnsi"/>
          <w:sz w:val="22"/>
          <w:szCs w:val="22"/>
        </w:rPr>
        <w:t>- avoir la fiabilité nécessaire pour éviter des att</w:t>
      </w:r>
      <w:r w:rsidR="00D63D2C">
        <w:rPr>
          <w:rFonts w:asciiTheme="majorHAnsi" w:hAnsiTheme="majorHAnsi" w:cstheme="majorHAnsi"/>
          <w:sz w:val="22"/>
          <w:szCs w:val="22"/>
        </w:rPr>
        <w:t>eintes à la sécurité de l'Etat.</w:t>
      </w:r>
    </w:p>
    <w:p w:rsidR="008A5DEE" w:rsidRPr="008A5DEE" w:rsidRDefault="008A5DEE" w:rsidP="008A5DEE">
      <w:pPr>
        <w:numPr>
          <w:ilvl w:val="0"/>
          <w:numId w:val="1"/>
        </w:numPr>
        <w:tabs>
          <w:tab w:val="clear" w:pos="786"/>
          <w:tab w:val="num" w:pos="360"/>
          <w:tab w:val="left" w:pos="576"/>
        </w:tabs>
        <w:suppressAutoHyphens/>
        <w:spacing w:before="80" w:after="0" w:line="240" w:lineRule="auto"/>
        <w:ind w:left="0" w:firstLine="0"/>
        <w:jc w:val="both"/>
        <w:rPr>
          <w:rFonts w:asciiTheme="majorHAnsi" w:hAnsiTheme="majorHAnsi" w:cstheme="majorHAnsi"/>
          <w:b/>
        </w:rPr>
      </w:pPr>
      <w:r w:rsidRPr="008A5DEE">
        <w:rPr>
          <w:rFonts w:asciiTheme="majorHAnsi" w:hAnsiTheme="majorHAnsi" w:cstheme="majorHAnsi"/>
          <w:b/>
          <w:i/>
        </w:rPr>
        <w:t>Egalité professionnelle entre les femmes et les hommes</w:t>
      </w:r>
      <w:r w:rsidRPr="008A5DEE">
        <w:rPr>
          <w:rFonts w:asciiTheme="majorHAnsi" w:hAnsiTheme="majorHAnsi" w:cstheme="majorHAnsi"/>
          <w:b/>
        </w:rPr>
        <w:t> :</w:t>
      </w:r>
    </w:p>
    <w:p w:rsidR="008A5DEE" w:rsidRPr="008A5DEE" w:rsidRDefault="008A5DEE" w:rsidP="008A5DEE">
      <w:pPr>
        <w:numPr>
          <w:ilvl w:val="0"/>
          <w:numId w:val="2"/>
        </w:numPr>
        <w:tabs>
          <w:tab w:val="left" w:pos="576"/>
        </w:tabs>
        <w:suppressAutoHyphens/>
        <w:spacing w:before="80" w:after="0" w:line="240" w:lineRule="auto"/>
        <w:ind w:left="0" w:firstLine="0"/>
        <w:jc w:val="both"/>
        <w:rPr>
          <w:rFonts w:asciiTheme="majorHAnsi" w:hAnsiTheme="majorHAnsi" w:cstheme="majorHAnsi"/>
        </w:rPr>
      </w:pPr>
      <w:proofErr w:type="gramStart"/>
      <w:r w:rsidRPr="008A5DEE">
        <w:rPr>
          <w:rFonts w:asciiTheme="majorHAnsi" w:hAnsiTheme="majorHAnsi" w:cstheme="majorHAnsi"/>
        </w:rPr>
        <w:t>ne</w:t>
      </w:r>
      <w:proofErr w:type="gramEnd"/>
      <w:r w:rsidRPr="008A5DEE">
        <w:rPr>
          <w:rFonts w:asciiTheme="majorHAnsi" w:hAnsiTheme="majorHAnsi" w:cstheme="majorHAnsi"/>
        </w:rPr>
        <w:t xml:space="preserve"> pas avoir fait l'objet, depuis moins de cinq ans, d'une condamnation inscrite au bulletin n° 2 du casier judiciaire pour les infractions mentionnées à l’article L. 1146-1 du code du travail ;</w:t>
      </w:r>
    </w:p>
    <w:p w:rsidR="008A5DEE" w:rsidRDefault="008A5DEE" w:rsidP="008A5DEE">
      <w:pPr>
        <w:numPr>
          <w:ilvl w:val="0"/>
          <w:numId w:val="2"/>
        </w:numPr>
        <w:tabs>
          <w:tab w:val="left" w:pos="576"/>
        </w:tabs>
        <w:suppressAutoHyphens/>
        <w:spacing w:before="80" w:after="0" w:line="240" w:lineRule="auto"/>
        <w:ind w:left="0" w:firstLine="0"/>
        <w:jc w:val="both"/>
        <w:rPr>
          <w:rFonts w:asciiTheme="majorHAnsi" w:hAnsiTheme="majorHAnsi" w:cstheme="majorHAnsi"/>
        </w:rPr>
      </w:pPr>
      <w:proofErr w:type="gramStart"/>
      <w:r w:rsidRPr="008A5DEE">
        <w:rPr>
          <w:rFonts w:asciiTheme="majorHAnsi" w:hAnsiTheme="majorHAnsi" w:cstheme="majorHAnsi"/>
        </w:rPr>
        <w:t>avoir</w:t>
      </w:r>
      <w:proofErr w:type="gramEnd"/>
      <w:r w:rsidRPr="008A5DEE">
        <w:rPr>
          <w:rFonts w:asciiTheme="majorHAnsi" w:hAnsiTheme="majorHAnsi" w:cstheme="majorHAnsi"/>
        </w:rPr>
        <w:t>, au 31 décembre de l’année précédant celle au cours de laquelle a lieu de lancement de la consultation, mis en œuvre l’obligation de négociation prévue à l’article L. 2242-5 du code du travail ou, à défaut, avoir réalisé ou engagé la régularisation de cette situat</w:t>
      </w:r>
      <w:r w:rsidR="00D63D2C">
        <w:rPr>
          <w:rFonts w:asciiTheme="majorHAnsi" w:hAnsiTheme="majorHAnsi" w:cstheme="majorHAnsi"/>
        </w:rPr>
        <w:t>ion à la date de la soumission.</w:t>
      </w:r>
    </w:p>
    <w:p w:rsidR="00D63D2C" w:rsidRDefault="00D63D2C" w:rsidP="00D63D2C">
      <w:pPr>
        <w:tabs>
          <w:tab w:val="left" w:pos="576"/>
        </w:tabs>
        <w:suppressAutoHyphens/>
        <w:spacing w:before="80" w:after="0" w:line="240" w:lineRule="auto"/>
        <w:jc w:val="both"/>
        <w:rPr>
          <w:rFonts w:asciiTheme="majorHAnsi" w:hAnsiTheme="majorHAnsi" w:cstheme="majorHAnsi"/>
        </w:rPr>
      </w:pPr>
    </w:p>
    <w:p w:rsidR="00D63D2C" w:rsidRDefault="00D63D2C" w:rsidP="00D63D2C">
      <w:pPr>
        <w:tabs>
          <w:tab w:val="left" w:pos="576"/>
        </w:tabs>
        <w:suppressAutoHyphens/>
        <w:spacing w:before="80" w:after="0" w:line="240" w:lineRule="auto"/>
        <w:jc w:val="both"/>
        <w:rPr>
          <w:rFonts w:asciiTheme="majorHAnsi" w:hAnsiTheme="majorHAnsi" w:cstheme="majorHAnsi"/>
        </w:rPr>
      </w:pPr>
    </w:p>
    <w:p w:rsidR="00D63D2C" w:rsidRDefault="00D63D2C" w:rsidP="00D63D2C">
      <w:pPr>
        <w:tabs>
          <w:tab w:val="left" w:pos="576"/>
        </w:tabs>
        <w:suppressAutoHyphens/>
        <w:spacing w:before="80" w:after="0" w:line="240" w:lineRule="auto"/>
        <w:jc w:val="both"/>
        <w:rPr>
          <w:rFonts w:asciiTheme="majorHAnsi" w:hAnsiTheme="majorHAnsi" w:cstheme="majorHAnsi"/>
        </w:rPr>
      </w:pPr>
    </w:p>
    <w:p w:rsidR="00D63D2C" w:rsidRPr="007C00D7" w:rsidRDefault="00D63D2C" w:rsidP="00D63D2C">
      <w:pPr>
        <w:rPr>
          <w:rFonts w:ascii="Arial" w:hAnsi="Arial" w:cs="Arial"/>
          <w:b/>
          <w:bCs/>
          <w:sz w:val="20"/>
          <w:szCs w:val="20"/>
        </w:rPr>
      </w:pPr>
      <w:r w:rsidRPr="007C00D7">
        <w:rPr>
          <w:rFonts w:ascii="Arial" w:hAnsi="Arial" w:cs="Arial"/>
          <w:b/>
          <w:bCs/>
          <w:sz w:val="20"/>
          <w:szCs w:val="20"/>
        </w:rPr>
        <w:t>Afin d’attester que le candidat individuel, ou chaque membre du groupement, n’est pas dans l’interdiction de soumissionner.</w:t>
      </w:r>
    </w:p>
    <w:p w:rsidR="00D63D2C" w:rsidRPr="007C00D7" w:rsidRDefault="00D63D2C" w:rsidP="00D63D2C">
      <w:pPr>
        <w:jc w:val="center"/>
        <w:rPr>
          <w:rFonts w:ascii="Arial" w:hAnsi="Arial" w:cs="Arial"/>
          <w:sz w:val="20"/>
          <w:szCs w:val="20"/>
        </w:rPr>
      </w:pPr>
      <w:r w:rsidRPr="007C00D7">
        <w:rPr>
          <w:rFonts w:ascii="Arial" w:hAnsi="Arial" w:cs="Arial"/>
          <w:sz w:val="20"/>
          <w:szCs w:val="20"/>
        </w:rPr>
        <w:t xml:space="preserve">À                                      </w:t>
      </w:r>
      <w:r w:rsidR="008108BE">
        <w:rPr>
          <w:rFonts w:ascii="Arial" w:hAnsi="Arial" w:cs="Arial"/>
          <w:sz w:val="20"/>
          <w:szCs w:val="20"/>
        </w:rPr>
        <w:t xml:space="preserve"> </w:t>
      </w:r>
      <w:r w:rsidRPr="007C00D7">
        <w:rPr>
          <w:rFonts w:ascii="Arial" w:hAnsi="Arial" w:cs="Arial"/>
          <w:sz w:val="20"/>
          <w:szCs w:val="20"/>
        </w:rPr>
        <w:t xml:space="preserve"> le</w:t>
      </w:r>
    </w:p>
    <w:p w:rsidR="00D63D2C" w:rsidRPr="007C00D7" w:rsidRDefault="00D63D2C" w:rsidP="00D63D2C">
      <w:pPr>
        <w:jc w:val="center"/>
        <w:rPr>
          <w:rFonts w:ascii="Arial" w:hAnsi="Arial" w:cs="Arial"/>
          <w:sz w:val="20"/>
          <w:szCs w:val="20"/>
        </w:rPr>
      </w:pPr>
    </w:p>
    <w:p w:rsidR="00D63D2C" w:rsidRPr="007C00D7" w:rsidRDefault="00D63D2C" w:rsidP="00D63D2C">
      <w:pPr>
        <w:jc w:val="center"/>
        <w:rPr>
          <w:rFonts w:ascii="Arial" w:hAnsi="Arial" w:cs="Arial"/>
          <w:sz w:val="20"/>
          <w:szCs w:val="20"/>
        </w:rPr>
      </w:pPr>
    </w:p>
    <w:p w:rsidR="00D63D2C" w:rsidRPr="008108BE" w:rsidRDefault="00D63D2C" w:rsidP="00D63D2C">
      <w:pPr>
        <w:jc w:val="center"/>
        <w:rPr>
          <w:rFonts w:ascii="Arial" w:hAnsi="Arial" w:cs="Arial"/>
          <w:b/>
          <w:sz w:val="20"/>
          <w:szCs w:val="20"/>
        </w:rPr>
      </w:pPr>
      <w:r w:rsidRPr="008108BE">
        <w:rPr>
          <w:rFonts w:ascii="Arial" w:hAnsi="Arial" w:cs="Arial"/>
          <w:b/>
          <w:sz w:val="20"/>
          <w:szCs w:val="20"/>
        </w:rPr>
        <w:t>Signature</w:t>
      </w:r>
    </w:p>
    <w:p w:rsidR="00D63D2C" w:rsidRPr="008A5DEE" w:rsidRDefault="00D63D2C" w:rsidP="00D63D2C">
      <w:pPr>
        <w:tabs>
          <w:tab w:val="left" w:pos="576"/>
        </w:tabs>
        <w:suppressAutoHyphens/>
        <w:spacing w:before="80" w:after="0" w:line="240" w:lineRule="auto"/>
        <w:jc w:val="both"/>
        <w:rPr>
          <w:rFonts w:asciiTheme="majorHAnsi" w:hAnsiTheme="majorHAnsi" w:cstheme="majorHAnsi"/>
        </w:rPr>
      </w:pPr>
    </w:p>
    <w:p w:rsidR="008A5DEE" w:rsidRPr="008A5DEE" w:rsidRDefault="008A5DEE" w:rsidP="008A5DEE">
      <w:pPr>
        <w:jc w:val="both"/>
        <w:rPr>
          <w:rFonts w:asciiTheme="majorHAnsi" w:hAnsiTheme="majorHAnsi" w:cstheme="majorHAnsi"/>
        </w:rPr>
      </w:pPr>
    </w:p>
    <w:p w:rsidR="008A5DEE" w:rsidRPr="008A5DEE" w:rsidRDefault="008A5DEE" w:rsidP="003F7F7C">
      <w:pPr>
        <w:rPr>
          <w:rFonts w:asciiTheme="majorHAnsi" w:hAnsiTheme="majorHAnsi" w:cstheme="majorHAnsi"/>
        </w:rPr>
      </w:pPr>
    </w:p>
    <w:p w:rsidR="008A5DEE" w:rsidRPr="008A5DEE" w:rsidRDefault="008A5DEE" w:rsidP="003F7F7C">
      <w:pPr>
        <w:rPr>
          <w:rFonts w:asciiTheme="majorHAnsi" w:hAnsiTheme="majorHAnsi" w:cstheme="majorHAnsi"/>
        </w:rPr>
      </w:pPr>
    </w:p>
    <w:p w:rsidR="008A5DEE" w:rsidRPr="008A5DEE" w:rsidRDefault="008A5DEE" w:rsidP="003F7F7C">
      <w:pPr>
        <w:rPr>
          <w:rFonts w:asciiTheme="majorHAnsi" w:hAnsiTheme="majorHAnsi" w:cstheme="majorHAnsi"/>
        </w:rPr>
      </w:pPr>
    </w:p>
    <w:p w:rsidR="008A5DEE" w:rsidRPr="008A5DEE" w:rsidRDefault="008A5DEE" w:rsidP="003F7F7C">
      <w:pPr>
        <w:rPr>
          <w:rFonts w:asciiTheme="majorHAnsi" w:hAnsiTheme="majorHAnsi" w:cstheme="majorHAnsi"/>
        </w:rPr>
      </w:pPr>
    </w:p>
    <w:sectPr w:rsidR="008A5DEE" w:rsidRPr="008A5DEE" w:rsidSect="003F7F7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F7C"/>
    <w:rsid w:val="003F7F7C"/>
    <w:rsid w:val="008108BE"/>
    <w:rsid w:val="008A5DEE"/>
    <w:rsid w:val="00982C77"/>
    <w:rsid w:val="00D63D2C"/>
    <w:rsid w:val="00F206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BD235"/>
  <w15:chartTrackingRefBased/>
  <w15:docId w15:val="{939733B1-C140-464D-AA5E-5324F996E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nhideWhenUsed/>
    <w:rsid w:val="003F7F7C"/>
    <w:pPr>
      <w:spacing w:before="100" w:beforeAutospacing="1" w:after="100" w:afterAutospacing="1" w:line="240" w:lineRule="auto"/>
    </w:pPr>
    <w:rPr>
      <w:rFonts w:ascii="Times New Roman" w:eastAsiaTheme="minorEastAsia"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789</Words>
  <Characters>4345</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GAC-GOULM Florence ATTACHE ADMI</dc:creator>
  <cp:keywords/>
  <dc:description/>
  <cp:lastModifiedBy>GAC-GOULM Florence ATTACHE ADMI</cp:lastModifiedBy>
  <cp:revision>3</cp:revision>
  <dcterms:created xsi:type="dcterms:W3CDTF">2026-01-29T21:41:00Z</dcterms:created>
  <dcterms:modified xsi:type="dcterms:W3CDTF">2026-01-29T22:03:00Z</dcterms:modified>
</cp:coreProperties>
</file>